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307" w:rsidRPr="00364307" w:rsidRDefault="00364307" w:rsidP="00364307">
      <w:pPr>
        <w:keepNext/>
        <w:autoSpaceDE w:val="0"/>
        <w:autoSpaceDN w:val="0"/>
        <w:adjustRightInd w:val="0"/>
        <w:ind w:right="-425" w:firstLine="567"/>
        <w:outlineLvl w:val="8"/>
        <w:rPr>
          <w:b/>
          <w:bCs/>
          <w:lang w:val="bg-BG"/>
        </w:rPr>
      </w:pPr>
      <w:r>
        <w:rPr>
          <w:b/>
          <w:bCs/>
          <w:sz w:val="22"/>
          <w:szCs w:val="22"/>
        </w:rPr>
        <w:t xml:space="preserve">                                            </w:t>
      </w:r>
      <w:r w:rsidRPr="00364307">
        <w:rPr>
          <w:b/>
          <w:bCs/>
          <w:lang w:val="bg-BG"/>
        </w:rPr>
        <w:t>МЕТОДИКА ЗА ОЦЕНКА</w:t>
      </w:r>
    </w:p>
    <w:p w:rsidR="00364307" w:rsidRDefault="00364307" w:rsidP="00364307">
      <w:pPr>
        <w:ind w:right="-425" w:firstLine="567"/>
        <w:jc w:val="both"/>
        <w:rPr>
          <w:rFonts w:eastAsia="FreeSans"/>
          <w:b/>
          <w:bCs/>
          <w:sz w:val="22"/>
          <w:szCs w:val="22"/>
        </w:rPr>
      </w:pPr>
    </w:p>
    <w:p w:rsidR="00364307" w:rsidRDefault="00364307" w:rsidP="00364307">
      <w:pPr>
        <w:ind w:right="-425" w:firstLine="567"/>
        <w:jc w:val="both"/>
        <w:rPr>
          <w:rFonts w:eastAsia="FreeSans"/>
          <w:b/>
          <w:bCs/>
          <w:sz w:val="22"/>
          <w:szCs w:val="22"/>
        </w:rPr>
      </w:pPr>
    </w:p>
    <w:p w:rsidR="00364307" w:rsidRDefault="00364307" w:rsidP="00364307">
      <w:pPr>
        <w:ind w:right="-425" w:firstLine="567"/>
        <w:jc w:val="both"/>
        <w:rPr>
          <w:rFonts w:eastAsia="FreeSans"/>
          <w:b/>
          <w:bCs/>
          <w:sz w:val="22"/>
          <w:szCs w:val="22"/>
        </w:rPr>
      </w:pP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rFonts w:eastAsia="FreeSans"/>
          <w:b/>
          <w:bCs/>
          <w:sz w:val="22"/>
          <w:szCs w:val="22"/>
          <w:lang w:val="bg-BG"/>
        </w:rPr>
        <w:t>1.</w:t>
      </w:r>
      <w:r w:rsidRPr="00585895">
        <w:rPr>
          <w:rFonts w:eastAsia="FreeSans"/>
          <w:bCs/>
          <w:sz w:val="22"/>
          <w:szCs w:val="22"/>
          <w:lang w:val="bg-BG"/>
        </w:rPr>
        <w:t xml:space="preserve"> </w:t>
      </w:r>
      <w:r w:rsidRPr="00585895">
        <w:rPr>
          <w:sz w:val="22"/>
          <w:szCs w:val="22"/>
          <w:lang w:val="bg-BG"/>
        </w:rPr>
        <w:t xml:space="preserve">Икономически най-изгодната оферта в обществената поръчка се определя въз основа на критерия „оптимално съотношение качество/цена“. </w:t>
      </w:r>
    </w:p>
    <w:p w:rsidR="00364307" w:rsidRPr="00585895" w:rsidRDefault="00364307" w:rsidP="00364307">
      <w:pPr>
        <w:spacing w:after="200" w:line="276" w:lineRule="auto"/>
        <w:ind w:right="-425" w:firstLine="567"/>
        <w:contextualSpacing/>
        <w:jc w:val="both"/>
        <w:rPr>
          <w:b/>
          <w:sz w:val="22"/>
          <w:szCs w:val="22"/>
          <w:lang w:val="bg-BG"/>
        </w:rPr>
      </w:pPr>
      <w:r w:rsidRPr="00585895">
        <w:rPr>
          <w:b/>
          <w:sz w:val="22"/>
          <w:szCs w:val="22"/>
          <w:lang w:val="bg-BG"/>
        </w:rPr>
        <w:t xml:space="preserve">2. </w:t>
      </w:r>
      <w:r w:rsidRPr="00585895">
        <w:rPr>
          <w:sz w:val="22"/>
          <w:szCs w:val="22"/>
          <w:lang w:val="bg-BG"/>
        </w:rPr>
        <w:t>Показателите за оценка и тежестта на всеки един от тях в комплексната оценка на офертите са както следва:</w:t>
      </w: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sz w:val="22"/>
          <w:szCs w:val="22"/>
          <w:lang w:val="bg-BG"/>
        </w:rPr>
        <w:t xml:space="preserve">а) </w:t>
      </w:r>
      <w:r w:rsidRPr="00585895">
        <w:rPr>
          <w:b/>
          <w:sz w:val="22"/>
          <w:szCs w:val="22"/>
          <w:lang w:val="bg-BG"/>
        </w:rPr>
        <w:t>К</w:t>
      </w:r>
      <w:r w:rsidRPr="00585895">
        <w:rPr>
          <w:b/>
          <w:sz w:val="22"/>
          <w:szCs w:val="22"/>
          <w:vertAlign w:val="subscript"/>
          <w:lang w:val="bg-BG"/>
        </w:rPr>
        <w:t>1</w:t>
      </w:r>
      <w:r w:rsidRPr="00585895">
        <w:rPr>
          <w:b/>
          <w:sz w:val="22"/>
          <w:szCs w:val="22"/>
          <w:lang w:val="bg-BG"/>
        </w:rPr>
        <w:t xml:space="preserve">  – предлагана крайна цена</w:t>
      </w:r>
      <w:r w:rsidRPr="00585895">
        <w:rPr>
          <w:sz w:val="22"/>
          <w:szCs w:val="22"/>
          <w:lang w:val="bg-BG"/>
        </w:rPr>
        <w:t xml:space="preserve"> (</w:t>
      </w:r>
      <w:r w:rsidRPr="00585895">
        <w:rPr>
          <w:i/>
          <w:sz w:val="22"/>
          <w:szCs w:val="22"/>
          <w:lang w:val="bg-BG"/>
        </w:rPr>
        <w:t>без ДДС</w:t>
      </w:r>
      <w:r w:rsidRPr="00585895">
        <w:rPr>
          <w:sz w:val="22"/>
          <w:szCs w:val="22"/>
          <w:lang w:val="bg-BG"/>
        </w:rPr>
        <w:t xml:space="preserve">) – с относителна тежест 80 </w:t>
      </w:r>
      <w:r w:rsidR="006C1146">
        <w:rPr>
          <w:sz w:val="22"/>
          <w:szCs w:val="22"/>
          <w:lang w:val="bg-BG"/>
        </w:rPr>
        <w:t>точки</w:t>
      </w:r>
      <w:r w:rsidRPr="00585895">
        <w:rPr>
          <w:sz w:val="22"/>
          <w:szCs w:val="22"/>
          <w:lang w:val="bg-BG"/>
        </w:rPr>
        <w:t>. в комплексната оценка;</w:t>
      </w:r>
    </w:p>
    <w:p w:rsidR="00364307" w:rsidRPr="00585895" w:rsidRDefault="00364307" w:rsidP="00364307">
      <w:pPr>
        <w:ind w:right="-425"/>
        <w:jc w:val="both"/>
        <w:rPr>
          <w:sz w:val="22"/>
          <w:szCs w:val="22"/>
          <w:lang w:val="bg-BG"/>
        </w:rPr>
      </w:pPr>
      <w:r w:rsidRPr="00585895">
        <w:rPr>
          <w:sz w:val="22"/>
          <w:szCs w:val="22"/>
          <w:lang w:val="bg-BG"/>
        </w:rPr>
        <w:t xml:space="preserve">             </w:t>
      </w:r>
      <w:r w:rsidRPr="00585895">
        <w:rPr>
          <w:position w:val="-30"/>
          <w:sz w:val="22"/>
          <w:szCs w:val="22"/>
          <w:lang w:val="bg-BG"/>
        </w:rPr>
        <w:object w:dxaOrig="1170" w:dyaOrig="70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35.25pt" o:ole="">
            <v:imagedata r:id="rId5" o:title=""/>
          </v:shape>
          <o:OLEObject Type="Embed" ProgID="Equation.3" ShapeID="_x0000_i1025" DrawAspect="Content" ObjectID="_1827378008" r:id="rId6"/>
        </w:object>
      </w:r>
      <w:r w:rsidRPr="00585895">
        <w:rPr>
          <w:sz w:val="22"/>
          <w:szCs w:val="22"/>
          <w:lang w:val="bg-BG"/>
        </w:rPr>
        <w:t>x 80 ,</w:t>
      </w: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sz w:val="22"/>
          <w:szCs w:val="22"/>
          <w:lang w:val="bg-BG"/>
        </w:rPr>
        <w:t>C</w:t>
      </w:r>
      <w:r w:rsidRPr="00585895">
        <w:rPr>
          <w:sz w:val="22"/>
          <w:szCs w:val="22"/>
          <w:vertAlign w:val="subscript"/>
          <w:lang w:val="bg-BG"/>
        </w:rPr>
        <w:t>i</w:t>
      </w:r>
      <w:r w:rsidRPr="00585895">
        <w:rPr>
          <w:sz w:val="22"/>
          <w:szCs w:val="22"/>
          <w:lang w:val="bg-BG"/>
        </w:rPr>
        <w:t xml:space="preserve"> –  крайната цената предложена от участника за изпълнение на поръчката (без включен ДДС);</w:t>
      </w: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proofErr w:type="spellStart"/>
      <w:r w:rsidRPr="00585895">
        <w:rPr>
          <w:sz w:val="22"/>
          <w:szCs w:val="22"/>
          <w:lang w:val="bg-BG"/>
        </w:rPr>
        <w:t>C</w:t>
      </w:r>
      <w:r w:rsidRPr="00585895">
        <w:rPr>
          <w:sz w:val="22"/>
          <w:szCs w:val="22"/>
          <w:vertAlign w:val="subscript"/>
          <w:lang w:val="bg-BG"/>
        </w:rPr>
        <w:t>min</w:t>
      </w:r>
      <w:proofErr w:type="spellEnd"/>
      <w:r w:rsidRPr="00585895">
        <w:rPr>
          <w:sz w:val="22"/>
          <w:szCs w:val="22"/>
          <w:lang w:val="bg-BG"/>
        </w:rPr>
        <w:t xml:space="preserve"> –  най-ниската предложена крайна цена (без включен ДДС) за изпълнение на поръчката от участник в процедурата.</w:t>
      </w:r>
    </w:p>
    <w:p w:rsidR="00364307" w:rsidRPr="00585895" w:rsidRDefault="00364307" w:rsidP="00364307">
      <w:pPr>
        <w:ind w:right="-425"/>
        <w:jc w:val="both"/>
        <w:rPr>
          <w:sz w:val="22"/>
          <w:szCs w:val="22"/>
          <w:lang w:val="bg-BG"/>
        </w:rPr>
      </w:pP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sz w:val="22"/>
          <w:szCs w:val="22"/>
          <w:lang w:val="bg-BG"/>
        </w:rPr>
        <w:t xml:space="preserve">б) </w:t>
      </w:r>
      <w:r w:rsidRPr="00585895">
        <w:rPr>
          <w:b/>
          <w:sz w:val="22"/>
          <w:szCs w:val="22"/>
          <w:lang w:val="bg-BG"/>
        </w:rPr>
        <w:t>К</w:t>
      </w:r>
      <w:r w:rsidRPr="00585895">
        <w:rPr>
          <w:b/>
          <w:sz w:val="22"/>
          <w:szCs w:val="22"/>
          <w:vertAlign w:val="subscript"/>
          <w:lang w:val="bg-BG"/>
        </w:rPr>
        <w:t>2</w:t>
      </w:r>
      <w:r w:rsidRPr="00585895">
        <w:rPr>
          <w:b/>
          <w:sz w:val="22"/>
          <w:szCs w:val="22"/>
          <w:lang w:val="bg-BG"/>
        </w:rPr>
        <w:t xml:space="preserve"> – гаранционен срок на фотоволтаичната система</w:t>
      </w:r>
      <w:r w:rsidRPr="00585895">
        <w:rPr>
          <w:sz w:val="22"/>
          <w:szCs w:val="22"/>
          <w:lang w:val="bg-BG"/>
        </w:rPr>
        <w:t xml:space="preserve"> </w:t>
      </w:r>
      <w:r w:rsidRPr="00585895">
        <w:rPr>
          <w:i/>
          <w:sz w:val="22"/>
          <w:szCs w:val="22"/>
          <w:lang w:val="bg-BG"/>
        </w:rPr>
        <w:t>(в календарни месеци)</w:t>
      </w:r>
      <w:r w:rsidRPr="00585895">
        <w:rPr>
          <w:sz w:val="22"/>
          <w:szCs w:val="22"/>
          <w:lang w:val="bg-BG"/>
        </w:rPr>
        <w:t xml:space="preserve"> – с относителна тежест 20 </w:t>
      </w:r>
      <w:r w:rsidR="006C1146">
        <w:rPr>
          <w:sz w:val="22"/>
          <w:szCs w:val="22"/>
          <w:lang w:val="bg-BG"/>
        </w:rPr>
        <w:t>точки</w:t>
      </w:r>
      <w:r w:rsidRPr="00585895">
        <w:rPr>
          <w:sz w:val="22"/>
          <w:szCs w:val="22"/>
          <w:lang w:val="bg-BG"/>
        </w:rPr>
        <w:t>. в комплексната оценка.</w:t>
      </w: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b/>
          <w:sz w:val="22"/>
          <w:szCs w:val="22"/>
          <w:lang w:val="bg-BG"/>
        </w:rPr>
        <w:t xml:space="preserve"> </w:t>
      </w:r>
      <w:r w:rsidRPr="00585895">
        <w:rPr>
          <w:sz w:val="22"/>
          <w:szCs w:val="22"/>
          <w:lang w:val="bg-BG"/>
        </w:rPr>
        <w:t>К</w:t>
      </w:r>
      <w:r w:rsidRPr="00585895">
        <w:rPr>
          <w:sz w:val="22"/>
          <w:szCs w:val="22"/>
          <w:vertAlign w:val="subscript"/>
          <w:lang w:val="bg-BG"/>
        </w:rPr>
        <w:t xml:space="preserve">i,2 </w:t>
      </w:r>
      <w:r w:rsidRPr="00585895">
        <w:rPr>
          <w:sz w:val="22"/>
          <w:szCs w:val="22"/>
          <w:lang w:val="bg-BG"/>
        </w:rPr>
        <w:t xml:space="preserve">= </w:t>
      </w:r>
      <w:r w:rsidRPr="00585895">
        <w:rPr>
          <w:position w:val="-30"/>
          <w:sz w:val="22"/>
          <w:szCs w:val="22"/>
          <w:lang w:val="bg-BG"/>
        </w:rPr>
        <w:object w:dxaOrig="525" w:dyaOrig="705">
          <v:shape id="_x0000_i1026" type="#_x0000_t75" style="width:26.25pt;height:35.25pt" o:ole="" fillcolor="window">
            <v:imagedata r:id="rId7" o:title=""/>
          </v:shape>
          <o:OLEObject Type="Embed" ProgID="Equation.3" ShapeID="_x0000_i1026" DrawAspect="Content" ObjectID="_1827378009" r:id="rId8"/>
        </w:object>
      </w:r>
      <w:r w:rsidRPr="00585895">
        <w:rPr>
          <w:sz w:val="22"/>
          <w:szCs w:val="22"/>
          <w:lang w:val="bg-BG"/>
        </w:rPr>
        <w:t xml:space="preserve">х 20, </w:t>
      </w:r>
    </w:p>
    <w:p w:rsidR="00364307" w:rsidRPr="00585895" w:rsidRDefault="00364307" w:rsidP="00364307">
      <w:pPr>
        <w:ind w:right="-425" w:firstLine="540"/>
        <w:jc w:val="both"/>
        <w:rPr>
          <w:sz w:val="22"/>
          <w:szCs w:val="22"/>
          <w:lang w:val="bg-BG"/>
        </w:rPr>
      </w:pPr>
      <w:r w:rsidRPr="00585895">
        <w:rPr>
          <w:sz w:val="22"/>
          <w:szCs w:val="22"/>
          <w:lang w:val="bg-BG"/>
        </w:rPr>
        <w:t>където:</w:t>
      </w:r>
    </w:p>
    <w:p w:rsidR="00364307" w:rsidRPr="00585895" w:rsidRDefault="00364307" w:rsidP="00364307">
      <w:pPr>
        <w:ind w:left="540" w:right="-425"/>
        <w:jc w:val="both"/>
        <w:rPr>
          <w:sz w:val="22"/>
          <w:szCs w:val="22"/>
          <w:lang w:val="bg-BG"/>
        </w:rPr>
      </w:pPr>
      <w:proofErr w:type="spellStart"/>
      <w:r w:rsidRPr="00585895">
        <w:rPr>
          <w:sz w:val="22"/>
          <w:szCs w:val="22"/>
          <w:lang w:val="bg-BG"/>
        </w:rPr>
        <w:t>T</w:t>
      </w:r>
      <w:r w:rsidRPr="00585895">
        <w:rPr>
          <w:sz w:val="22"/>
          <w:szCs w:val="22"/>
          <w:vertAlign w:val="subscript"/>
          <w:lang w:val="bg-BG"/>
        </w:rPr>
        <w:t>i</w:t>
      </w:r>
      <w:proofErr w:type="spellEnd"/>
      <w:r w:rsidRPr="00585895">
        <w:rPr>
          <w:sz w:val="22"/>
          <w:szCs w:val="22"/>
          <w:lang w:val="bg-BG"/>
        </w:rPr>
        <w:t xml:space="preserve"> –  гаранционният срок на фотоволтаичната система (в календарни месеци), предложен от съответния участник;</w:t>
      </w:r>
    </w:p>
    <w:p w:rsidR="00364307" w:rsidRPr="00585895" w:rsidRDefault="00364307" w:rsidP="00364307">
      <w:pPr>
        <w:ind w:right="-425" w:firstLine="540"/>
        <w:jc w:val="both"/>
        <w:rPr>
          <w:sz w:val="22"/>
          <w:szCs w:val="22"/>
          <w:lang w:val="bg-BG"/>
        </w:rPr>
      </w:pPr>
      <w:proofErr w:type="spellStart"/>
      <w:r w:rsidRPr="00585895">
        <w:rPr>
          <w:sz w:val="22"/>
          <w:szCs w:val="22"/>
          <w:lang w:val="bg-BG"/>
        </w:rPr>
        <w:t>T</w:t>
      </w:r>
      <w:r w:rsidRPr="00585895">
        <w:rPr>
          <w:sz w:val="22"/>
          <w:szCs w:val="22"/>
          <w:vertAlign w:val="subscript"/>
          <w:lang w:val="bg-BG"/>
        </w:rPr>
        <w:t>mах</w:t>
      </w:r>
      <w:proofErr w:type="spellEnd"/>
      <w:r w:rsidRPr="00585895">
        <w:rPr>
          <w:sz w:val="22"/>
          <w:szCs w:val="22"/>
          <w:lang w:val="bg-BG"/>
        </w:rPr>
        <w:t xml:space="preserve"> –  най-дългият предложен гаранционен срок на фотоволтаичната система (в календарни месеци) от участник в избора на изпълнител.</w:t>
      </w: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sz w:val="22"/>
          <w:szCs w:val="22"/>
          <w:lang w:val="bg-BG"/>
        </w:rPr>
        <w:t>Комплексната оценка на всяка оферта ще се определя съгласно следните формули:</w:t>
      </w:r>
    </w:p>
    <w:p w:rsidR="00364307" w:rsidRPr="00585895" w:rsidRDefault="00364307" w:rsidP="00364307">
      <w:pPr>
        <w:ind w:right="-425" w:firstLine="567"/>
        <w:jc w:val="both"/>
        <w:rPr>
          <w:b/>
          <w:sz w:val="22"/>
          <w:szCs w:val="22"/>
          <w:lang w:val="bg-BG"/>
        </w:rPr>
      </w:pPr>
      <w:r w:rsidRPr="00585895">
        <w:rPr>
          <w:b/>
          <w:sz w:val="22"/>
          <w:szCs w:val="22"/>
          <w:lang w:val="bg-BG"/>
        </w:rPr>
        <w:t xml:space="preserve">        </w:t>
      </w:r>
    </w:p>
    <w:p w:rsidR="00364307" w:rsidRPr="00585895" w:rsidRDefault="00364307" w:rsidP="00364307">
      <w:pPr>
        <w:ind w:right="-425" w:firstLine="567"/>
        <w:jc w:val="both"/>
        <w:rPr>
          <w:b/>
          <w:sz w:val="22"/>
          <w:szCs w:val="22"/>
          <w:lang w:val="bg-BG"/>
        </w:rPr>
      </w:pPr>
      <w:proofErr w:type="spellStart"/>
      <w:r w:rsidRPr="00585895">
        <w:rPr>
          <w:b/>
          <w:sz w:val="22"/>
          <w:szCs w:val="22"/>
          <w:lang w:val="bg-BG"/>
        </w:rPr>
        <w:t>К</w:t>
      </w:r>
      <w:r w:rsidRPr="00585895">
        <w:rPr>
          <w:b/>
          <w:sz w:val="22"/>
          <w:szCs w:val="22"/>
          <w:vertAlign w:val="subscript"/>
          <w:lang w:val="bg-BG"/>
        </w:rPr>
        <w:t>compl</w:t>
      </w:r>
      <w:proofErr w:type="spellEnd"/>
      <w:r w:rsidRPr="00585895">
        <w:rPr>
          <w:b/>
          <w:sz w:val="22"/>
          <w:szCs w:val="22"/>
          <w:vertAlign w:val="subscript"/>
          <w:lang w:val="bg-BG"/>
        </w:rPr>
        <w:t xml:space="preserve"> </w:t>
      </w:r>
      <w:r w:rsidRPr="00585895">
        <w:rPr>
          <w:b/>
          <w:sz w:val="22"/>
          <w:szCs w:val="22"/>
          <w:lang w:val="bg-BG"/>
        </w:rPr>
        <w:t>= K</w:t>
      </w:r>
      <w:r w:rsidRPr="00585895">
        <w:rPr>
          <w:b/>
          <w:sz w:val="22"/>
          <w:szCs w:val="22"/>
          <w:vertAlign w:val="subscript"/>
          <w:lang w:val="bg-BG"/>
        </w:rPr>
        <w:t>1</w:t>
      </w:r>
      <w:r w:rsidRPr="00585895">
        <w:rPr>
          <w:b/>
          <w:sz w:val="22"/>
          <w:szCs w:val="22"/>
          <w:lang w:val="bg-BG"/>
        </w:rPr>
        <w:t>+ K</w:t>
      </w:r>
      <w:r w:rsidRPr="00585895">
        <w:rPr>
          <w:b/>
          <w:sz w:val="22"/>
          <w:szCs w:val="22"/>
          <w:vertAlign w:val="subscript"/>
          <w:lang w:val="bg-BG"/>
        </w:rPr>
        <w:t>2</w:t>
      </w:r>
    </w:p>
    <w:p w:rsidR="00364307" w:rsidRPr="00585895" w:rsidRDefault="00364307" w:rsidP="00364307">
      <w:pPr>
        <w:ind w:right="-425" w:firstLine="567"/>
        <w:jc w:val="both"/>
        <w:rPr>
          <w:b/>
          <w:sz w:val="22"/>
          <w:szCs w:val="22"/>
          <w:lang w:val="bg-BG"/>
        </w:rPr>
      </w:pPr>
      <w:r w:rsidRPr="00585895">
        <w:rPr>
          <w:b/>
          <w:sz w:val="22"/>
          <w:szCs w:val="22"/>
          <w:lang w:val="bg-BG"/>
        </w:rPr>
        <w:t xml:space="preserve">   </w:t>
      </w: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vertAlign w:val="subscript"/>
          <w:lang w:val="bg-BG"/>
        </w:rPr>
      </w:pPr>
      <w:r w:rsidRPr="00585895">
        <w:rPr>
          <w:b/>
          <w:sz w:val="22"/>
          <w:szCs w:val="22"/>
          <w:lang w:val="bg-BG"/>
        </w:rPr>
        <w:t xml:space="preserve">3. </w:t>
      </w:r>
      <w:r w:rsidRPr="00585895">
        <w:rPr>
          <w:sz w:val="22"/>
          <w:szCs w:val="22"/>
          <w:lang w:val="bg-BG"/>
        </w:rPr>
        <w:t xml:space="preserve">На първо място ще бъде класирана офертата, получила най-голяма стойност на комплексната оценка </w:t>
      </w:r>
      <w:proofErr w:type="spellStart"/>
      <w:r w:rsidRPr="00585895">
        <w:rPr>
          <w:sz w:val="22"/>
          <w:szCs w:val="22"/>
          <w:lang w:val="bg-BG"/>
        </w:rPr>
        <w:t>К</w:t>
      </w:r>
      <w:r w:rsidRPr="00585895">
        <w:rPr>
          <w:sz w:val="22"/>
          <w:szCs w:val="22"/>
          <w:vertAlign w:val="subscript"/>
          <w:lang w:val="bg-BG"/>
        </w:rPr>
        <w:t>compl</w:t>
      </w:r>
      <w:proofErr w:type="spellEnd"/>
      <w:r w:rsidRPr="00585895">
        <w:rPr>
          <w:sz w:val="22"/>
          <w:szCs w:val="22"/>
          <w:vertAlign w:val="subscript"/>
          <w:lang w:val="bg-BG"/>
        </w:rPr>
        <w:t>.</w:t>
      </w:r>
    </w:p>
    <w:p w:rsidR="00364307" w:rsidRPr="00585895" w:rsidRDefault="00364307" w:rsidP="00364307">
      <w:pPr>
        <w:ind w:right="-425"/>
        <w:jc w:val="both"/>
        <w:rPr>
          <w:bCs/>
          <w:sz w:val="22"/>
          <w:szCs w:val="22"/>
          <w:lang w:val="bg-BG"/>
        </w:rPr>
      </w:pPr>
    </w:p>
    <w:p w:rsidR="003C1BDA" w:rsidRDefault="003C1BDA" w:rsidP="003C1BDA">
      <w:pPr>
        <w:ind w:right="-426" w:firstLine="567"/>
        <w:jc w:val="both"/>
        <w:rPr>
          <w:sz w:val="22"/>
          <w:szCs w:val="22"/>
          <w:lang w:val="bg-BG"/>
        </w:rPr>
      </w:pPr>
      <w:bookmarkStart w:id="0" w:name="_GoBack"/>
      <w:bookmarkEnd w:id="0"/>
      <w:r w:rsidRPr="003C1BDA">
        <w:rPr>
          <w:sz w:val="22"/>
          <w:szCs w:val="22"/>
          <w:lang w:val="bg-BG"/>
        </w:rPr>
        <w:t>Гаранционен срок по-дълъг от 180 (</w:t>
      </w:r>
      <w:proofErr w:type="spellStart"/>
      <w:r w:rsidRPr="003C1BDA">
        <w:rPr>
          <w:sz w:val="22"/>
          <w:szCs w:val="22"/>
          <w:lang w:val="bg-BG"/>
        </w:rPr>
        <w:t>сто</w:t>
      </w:r>
      <w:proofErr w:type="spellEnd"/>
      <w:r w:rsidRPr="003C1BDA">
        <w:rPr>
          <w:sz w:val="22"/>
          <w:szCs w:val="22"/>
          <w:lang w:val="bg-BG"/>
        </w:rPr>
        <w:t xml:space="preserve"> и </w:t>
      </w:r>
      <w:proofErr w:type="spellStart"/>
      <w:r w:rsidRPr="003C1BDA">
        <w:rPr>
          <w:sz w:val="22"/>
          <w:szCs w:val="22"/>
          <w:lang w:val="bg-BG"/>
        </w:rPr>
        <w:t>осемдесет</w:t>
      </w:r>
      <w:proofErr w:type="spellEnd"/>
      <w:r w:rsidRPr="003C1BDA">
        <w:rPr>
          <w:sz w:val="22"/>
          <w:szCs w:val="22"/>
          <w:lang w:val="bg-BG"/>
        </w:rPr>
        <w:t xml:space="preserve">) </w:t>
      </w:r>
      <w:proofErr w:type="spellStart"/>
      <w:r w:rsidRPr="003C1BDA">
        <w:rPr>
          <w:sz w:val="22"/>
          <w:szCs w:val="22"/>
          <w:lang w:val="bg-BG"/>
        </w:rPr>
        <w:t>календарни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месеца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възложителят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прием</w:t>
      </w:r>
      <w:proofErr w:type="spellEnd"/>
      <w:r w:rsidRPr="003C1BDA">
        <w:rPr>
          <w:sz w:val="22"/>
          <w:szCs w:val="22"/>
          <w:lang w:val="bg-BG"/>
        </w:rPr>
        <w:t>а</w:t>
      </w:r>
      <w:r w:rsidRPr="003C1BDA">
        <w:rPr>
          <w:sz w:val="22"/>
          <w:szCs w:val="22"/>
          <w:lang w:val="bg-BG"/>
        </w:rPr>
        <w:t xml:space="preserve">, НО ЗА ЦЕЛИТЕ НА МЕТОДИКАТА ЩЕ БЪДЕ ОЦЕНЯВАН КАТО РАВЕН НА 180 КАЛЕНДАРНИ МЕСЕЦА. В </w:t>
      </w:r>
      <w:proofErr w:type="spellStart"/>
      <w:r w:rsidRPr="003C1BDA">
        <w:rPr>
          <w:sz w:val="22"/>
          <w:szCs w:val="22"/>
          <w:lang w:val="bg-BG"/>
        </w:rPr>
        <w:t>тази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връзка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за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целите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на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оценка</w:t>
      </w:r>
      <w:proofErr w:type="spellEnd"/>
      <w:r w:rsidRPr="003C1BDA">
        <w:rPr>
          <w:sz w:val="22"/>
          <w:szCs w:val="22"/>
          <w:lang w:val="bg-BG"/>
        </w:rPr>
        <w:t xml:space="preserve">, </w:t>
      </w:r>
      <w:proofErr w:type="spellStart"/>
      <w:r w:rsidRPr="003C1BDA">
        <w:rPr>
          <w:sz w:val="22"/>
          <w:szCs w:val="22"/>
          <w:lang w:val="bg-BG"/>
        </w:rPr>
        <w:t>при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прилагане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на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изработената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методика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за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оценка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на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офертите</w:t>
      </w:r>
      <w:proofErr w:type="spellEnd"/>
      <w:r w:rsidRPr="003C1BDA">
        <w:rPr>
          <w:sz w:val="22"/>
          <w:szCs w:val="22"/>
          <w:lang w:val="bg-BG"/>
        </w:rPr>
        <w:t xml:space="preserve">, </w:t>
      </w:r>
      <w:proofErr w:type="spellStart"/>
      <w:r w:rsidRPr="003C1BDA">
        <w:rPr>
          <w:sz w:val="22"/>
          <w:szCs w:val="22"/>
          <w:lang w:val="bg-BG"/>
        </w:rPr>
        <w:t>по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показател</w:t>
      </w:r>
      <w:proofErr w:type="spellEnd"/>
      <w:r w:rsidRPr="003C1BDA">
        <w:rPr>
          <w:sz w:val="22"/>
          <w:szCs w:val="22"/>
          <w:lang w:val="bg-BG"/>
        </w:rPr>
        <w:t xml:space="preserve"> К2 „</w:t>
      </w:r>
      <w:proofErr w:type="spellStart"/>
      <w:r w:rsidRPr="003C1BDA">
        <w:rPr>
          <w:sz w:val="22"/>
          <w:szCs w:val="22"/>
          <w:lang w:val="bg-BG"/>
        </w:rPr>
        <w:t>гаранционен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срок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на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фотоволтаичната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система</w:t>
      </w:r>
      <w:proofErr w:type="spellEnd"/>
      <w:r w:rsidRPr="003C1BDA">
        <w:rPr>
          <w:sz w:val="22"/>
          <w:szCs w:val="22"/>
          <w:lang w:val="bg-BG"/>
        </w:rPr>
        <w:t xml:space="preserve">“, </w:t>
      </w:r>
      <w:proofErr w:type="spellStart"/>
      <w:r w:rsidRPr="003C1BDA">
        <w:rPr>
          <w:sz w:val="22"/>
          <w:szCs w:val="22"/>
          <w:lang w:val="bg-BG"/>
        </w:rPr>
        <w:t>участник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предложил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по-дълъг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гаранционен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срок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ще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участва</w:t>
      </w:r>
      <w:proofErr w:type="spellEnd"/>
      <w:r w:rsidRPr="003C1BDA">
        <w:rPr>
          <w:sz w:val="22"/>
          <w:szCs w:val="22"/>
          <w:lang w:val="bg-BG"/>
        </w:rPr>
        <w:t xml:space="preserve"> с </w:t>
      </w:r>
      <w:proofErr w:type="spellStart"/>
      <w:r w:rsidRPr="003C1BDA">
        <w:rPr>
          <w:sz w:val="22"/>
          <w:szCs w:val="22"/>
          <w:lang w:val="bg-BG"/>
        </w:rPr>
        <w:t>максималния</w:t>
      </w:r>
      <w:proofErr w:type="spellEnd"/>
      <w:r w:rsidRPr="003C1BDA">
        <w:rPr>
          <w:sz w:val="22"/>
          <w:szCs w:val="22"/>
          <w:lang w:val="bg-BG"/>
        </w:rPr>
        <w:t xml:space="preserve"> </w:t>
      </w:r>
      <w:proofErr w:type="spellStart"/>
      <w:r w:rsidRPr="003C1BDA">
        <w:rPr>
          <w:sz w:val="22"/>
          <w:szCs w:val="22"/>
          <w:lang w:val="bg-BG"/>
        </w:rPr>
        <w:t>възможен</w:t>
      </w:r>
      <w:proofErr w:type="spellEnd"/>
      <w:r w:rsidRPr="003C1BDA">
        <w:rPr>
          <w:sz w:val="22"/>
          <w:szCs w:val="22"/>
          <w:lang w:val="bg-BG"/>
        </w:rPr>
        <w:t>, а именно 180 календарни месеца.</w:t>
      </w:r>
    </w:p>
    <w:p w:rsidR="00364307" w:rsidRPr="00585895" w:rsidRDefault="00364307" w:rsidP="00364307">
      <w:pPr>
        <w:ind w:right="-425" w:firstLine="720"/>
        <w:jc w:val="both"/>
        <w:rPr>
          <w:sz w:val="22"/>
          <w:szCs w:val="22"/>
          <w:lang w:val="bg-BG"/>
        </w:rPr>
      </w:pPr>
    </w:p>
    <w:p w:rsidR="00364307" w:rsidRPr="00585895" w:rsidRDefault="00364307" w:rsidP="00364307">
      <w:pPr>
        <w:ind w:right="-425" w:firstLine="567"/>
        <w:jc w:val="both"/>
        <w:rPr>
          <w:sz w:val="22"/>
          <w:szCs w:val="22"/>
          <w:lang w:val="bg-BG"/>
        </w:rPr>
      </w:pPr>
      <w:r w:rsidRPr="00585895">
        <w:rPr>
          <w:b/>
          <w:sz w:val="22"/>
          <w:szCs w:val="22"/>
          <w:lang w:val="bg-BG"/>
        </w:rPr>
        <w:t>Забележки</w:t>
      </w:r>
      <w:r w:rsidRPr="00585895">
        <w:rPr>
          <w:sz w:val="22"/>
          <w:szCs w:val="22"/>
          <w:lang w:val="bg-BG"/>
        </w:rPr>
        <w:t xml:space="preserve">: </w:t>
      </w:r>
    </w:p>
    <w:p w:rsidR="00364307" w:rsidRPr="00585895" w:rsidRDefault="00364307" w:rsidP="00364307">
      <w:pPr>
        <w:numPr>
          <w:ilvl w:val="0"/>
          <w:numId w:val="1"/>
        </w:numPr>
        <w:tabs>
          <w:tab w:val="left" w:pos="851"/>
        </w:tabs>
        <w:ind w:left="0" w:right="-425" w:firstLine="567"/>
        <w:contextualSpacing/>
        <w:jc w:val="both"/>
        <w:rPr>
          <w:i/>
          <w:sz w:val="22"/>
          <w:szCs w:val="22"/>
          <w:lang w:val="bg-BG"/>
        </w:rPr>
      </w:pPr>
      <w:r w:rsidRPr="00585895">
        <w:rPr>
          <w:i/>
          <w:sz w:val="22"/>
          <w:szCs w:val="22"/>
          <w:lang w:val="bg-BG"/>
        </w:rPr>
        <w:t xml:space="preserve">Участниците следва да предложат гаранционния срок на фотоволтаичната система в календарни месеци,  в цяло число. </w:t>
      </w:r>
    </w:p>
    <w:p w:rsidR="00364307" w:rsidRPr="00585895" w:rsidRDefault="00364307" w:rsidP="00364307">
      <w:pPr>
        <w:numPr>
          <w:ilvl w:val="0"/>
          <w:numId w:val="1"/>
        </w:numPr>
        <w:tabs>
          <w:tab w:val="left" w:pos="851"/>
        </w:tabs>
        <w:ind w:left="0" w:right="-425" w:firstLine="567"/>
        <w:contextualSpacing/>
        <w:jc w:val="both"/>
        <w:rPr>
          <w:b/>
          <w:i/>
          <w:sz w:val="22"/>
          <w:szCs w:val="22"/>
          <w:lang w:val="bg-BG"/>
        </w:rPr>
      </w:pPr>
      <w:r w:rsidRPr="00585895">
        <w:rPr>
          <w:rFonts w:eastAsia="Calibri"/>
          <w:i/>
          <w:sz w:val="22"/>
          <w:szCs w:val="22"/>
          <w:lang w:val="bg-BG"/>
        </w:rPr>
        <w:t>Предложеният гаранционен срок на фотоволтаичната система, с</w:t>
      </w:r>
      <w:r>
        <w:rPr>
          <w:rFonts w:eastAsia="Calibri"/>
          <w:i/>
          <w:sz w:val="22"/>
          <w:szCs w:val="22"/>
          <w:lang w:val="bg-BG"/>
        </w:rPr>
        <w:t xml:space="preserve">ледва да бъде не по-кратък от </w:t>
      </w:r>
      <w:r w:rsidR="00A03C96">
        <w:rPr>
          <w:rFonts w:eastAsia="Calibri"/>
          <w:i/>
          <w:sz w:val="22"/>
          <w:szCs w:val="22"/>
          <w:lang w:val="bg-BG"/>
        </w:rPr>
        <w:t>120</w:t>
      </w:r>
      <w:r>
        <w:rPr>
          <w:rFonts w:eastAsia="Calibri"/>
          <w:i/>
          <w:sz w:val="22"/>
          <w:szCs w:val="22"/>
          <w:lang w:val="bg-BG"/>
        </w:rPr>
        <w:t xml:space="preserve"> /</w:t>
      </w:r>
      <w:r w:rsidR="00A03C96">
        <w:rPr>
          <w:rFonts w:eastAsia="Calibri"/>
          <w:i/>
          <w:sz w:val="22"/>
          <w:szCs w:val="22"/>
          <w:lang w:val="bg-BG"/>
        </w:rPr>
        <w:t>сто и двадесет</w:t>
      </w:r>
      <w:r w:rsidRPr="00585895">
        <w:rPr>
          <w:rFonts w:eastAsia="Calibri"/>
          <w:i/>
          <w:sz w:val="22"/>
          <w:szCs w:val="22"/>
          <w:lang w:val="bg-BG"/>
        </w:rPr>
        <w:t xml:space="preserve">/ месеца. </w:t>
      </w:r>
    </w:p>
    <w:p w:rsidR="00364307" w:rsidRPr="00585895" w:rsidRDefault="00364307" w:rsidP="00364307">
      <w:pPr>
        <w:numPr>
          <w:ilvl w:val="0"/>
          <w:numId w:val="1"/>
        </w:numPr>
        <w:tabs>
          <w:tab w:val="left" w:pos="851"/>
        </w:tabs>
        <w:ind w:left="0" w:right="-425" w:firstLine="567"/>
        <w:contextualSpacing/>
        <w:jc w:val="both"/>
        <w:rPr>
          <w:b/>
          <w:sz w:val="22"/>
          <w:szCs w:val="22"/>
          <w:lang w:val="bg-BG"/>
        </w:rPr>
      </w:pPr>
      <w:r w:rsidRPr="00585895">
        <w:rPr>
          <w:rFonts w:eastAsia="Calibri"/>
          <w:i/>
          <w:sz w:val="22"/>
          <w:szCs w:val="22"/>
          <w:lang w:val="bg-BG"/>
        </w:rPr>
        <w:t>Участници, които предложат гаранционен срок на фотоволтаичната система, който не отговаря на някое от посочените изисквания по предходните т. 1. и т. 2 ще бъдат отстранени от участие в процедурата</w:t>
      </w:r>
      <w:r w:rsidRPr="00585895">
        <w:rPr>
          <w:rFonts w:eastAsia="Calibri"/>
          <w:sz w:val="22"/>
          <w:szCs w:val="22"/>
          <w:lang w:val="bg-BG"/>
        </w:rPr>
        <w:t>.</w:t>
      </w:r>
    </w:p>
    <w:p w:rsidR="00364307" w:rsidRPr="00585895" w:rsidRDefault="00364307" w:rsidP="00364307">
      <w:pPr>
        <w:ind w:right="-425" w:firstLine="720"/>
        <w:jc w:val="both"/>
        <w:rPr>
          <w:sz w:val="22"/>
          <w:szCs w:val="22"/>
          <w:lang w:val="bg-BG"/>
        </w:rPr>
      </w:pPr>
    </w:p>
    <w:p w:rsidR="00291EC3" w:rsidRDefault="00291EC3"/>
    <w:sectPr w:rsidR="00291EC3" w:rsidSect="00291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Free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5C26"/>
    <w:multiLevelType w:val="hybridMultilevel"/>
    <w:tmpl w:val="8696A39C"/>
    <w:lvl w:ilvl="0" w:tplc="65004B0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07"/>
    <w:rsid w:val="00291EC3"/>
    <w:rsid w:val="002D2D7D"/>
    <w:rsid w:val="00364307"/>
    <w:rsid w:val="003C1BDA"/>
    <w:rsid w:val="004406A4"/>
    <w:rsid w:val="004D1EEC"/>
    <w:rsid w:val="0060160B"/>
    <w:rsid w:val="006C1146"/>
    <w:rsid w:val="007326E8"/>
    <w:rsid w:val="00A03C96"/>
    <w:rsid w:val="00A41C67"/>
    <w:rsid w:val="00D86D8D"/>
    <w:rsid w:val="00F81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3E33D"/>
  <w15:docId w15:val="{DFB07F93-2750-44FB-B505-DC016DBD8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43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32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user-3</dc:creator>
  <cp:lastModifiedBy>Стилияна Иванова</cp:lastModifiedBy>
  <cp:revision>4</cp:revision>
  <dcterms:created xsi:type="dcterms:W3CDTF">2025-12-15T13:17:00Z</dcterms:created>
  <dcterms:modified xsi:type="dcterms:W3CDTF">2025-12-16T06:14:00Z</dcterms:modified>
</cp:coreProperties>
</file>